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b/>
          <w:bCs/>
          <w:sz w:val="24"/>
        </w:rPr>
      </w:pPr>
      <w:r>
        <w:rPr>
          <w:rFonts w:hint="eastAsia"/>
          <w:b/>
          <w:bCs/>
          <w:sz w:val="24"/>
        </w:rPr>
        <w:t>公司治理系列 | 新《公司法》下的公司章程升级攻略</w:t>
      </w:r>
    </w:p>
    <w:p>
      <w:pPr>
        <w:spacing w:after="156" w:afterLines="50" w:line="360" w:lineRule="auto"/>
        <w:jc w:val="center"/>
        <w:rPr>
          <w:b/>
          <w:bCs/>
          <w:sz w:val="24"/>
        </w:rPr>
      </w:pPr>
      <w:r>
        <w:rPr>
          <w:rFonts w:hint="eastAsia"/>
          <w:b/>
          <w:bCs/>
          <w:sz w:val="24"/>
        </w:rPr>
        <w:t>示范条款</w:t>
      </w:r>
    </w:p>
    <w:p>
      <w:pPr>
        <w:spacing w:after="156" w:afterLines="50" w:line="360" w:lineRule="auto"/>
        <w:rPr>
          <w:sz w:val="24"/>
        </w:rPr>
      </w:pPr>
    </w:p>
    <w:p>
      <w:pPr>
        <w:spacing w:after="156" w:afterLines="50" w:line="360" w:lineRule="auto"/>
        <w:ind w:firstLine="480" w:firstLineChars="200"/>
        <w:rPr>
          <w:b/>
          <w:bCs/>
          <w:sz w:val="24"/>
          <w:u w:val="single"/>
        </w:rPr>
      </w:pPr>
      <w:r>
        <w:rPr>
          <w:b/>
          <w:bCs/>
          <w:sz w:val="24"/>
          <w:u w:val="single"/>
        </w:rPr>
        <w:t>示范条款仅供参考。在实际项目中，条款的具体内容需要根据项目的独特需求和实际情况进行定制和调整</w:t>
      </w:r>
      <w:r>
        <w:rPr>
          <w:rFonts w:hint="eastAsia"/>
          <w:b/>
          <w:bCs/>
          <w:sz w:val="24"/>
          <w:u w:val="single"/>
        </w:rPr>
        <w:t>，必要时咨询专业法律意见。</w:t>
      </w:r>
    </w:p>
    <w:p>
      <w:pPr>
        <w:spacing w:after="156" w:afterLines="50" w:line="360" w:lineRule="auto"/>
        <w:ind w:firstLine="480" w:firstLineChars="200"/>
        <w:rPr>
          <w:sz w:val="24"/>
        </w:rPr>
      </w:pPr>
    </w:p>
    <w:p>
      <w:pPr>
        <w:numPr>
          <w:ilvl w:val="0"/>
          <w:numId w:val="1"/>
        </w:numPr>
        <w:spacing w:after="156" w:afterLines="50" w:line="360" w:lineRule="auto"/>
        <w:ind w:firstLine="480" w:firstLineChars="200"/>
        <w:outlineLvl w:val="0"/>
        <w:rPr>
          <w:b/>
          <w:bCs/>
          <w:sz w:val="24"/>
        </w:rPr>
      </w:pPr>
      <w:r>
        <w:rPr>
          <w:rFonts w:hint="eastAsia"/>
          <w:b/>
          <w:bCs/>
          <w:sz w:val="24"/>
        </w:rPr>
        <w:t>公司资本制度</w:t>
      </w:r>
    </w:p>
    <w:p>
      <w:pPr>
        <w:spacing w:after="156" w:afterLines="50" w:line="360" w:lineRule="auto"/>
        <w:ind w:firstLine="480" w:firstLineChars="200"/>
        <w:rPr>
          <w:sz w:val="24"/>
        </w:rPr>
      </w:pPr>
      <w:r>
        <w:rPr>
          <w:rFonts w:hint="eastAsia"/>
          <w:sz w:val="24"/>
        </w:rPr>
        <w:t>基于公司资本制度的改革，关于“股东会会议由股东按照出资比例行使表决权；但是，公司章程另有规定的除外”的应用参考：</w:t>
      </w:r>
    </w:p>
    <w:p>
      <w:pPr>
        <w:numPr>
          <w:ilvl w:val="0"/>
          <w:numId w:val="2"/>
        </w:numPr>
        <w:spacing w:after="156" w:afterLines="50" w:line="360" w:lineRule="auto"/>
        <w:ind w:left="0" w:firstLine="480" w:firstLineChars="200"/>
        <w:rPr>
          <w:sz w:val="24"/>
        </w:rPr>
      </w:pPr>
      <w:r>
        <w:rPr>
          <w:rFonts w:hint="eastAsia"/>
          <w:sz w:val="24"/>
        </w:rPr>
        <w:t>同股不同权的设计：</w:t>
      </w:r>
    </w:p>
    <w:p>
      <w:pPr>
        <w:spacing w:after="156" w:afterLines="50" w:line="360" w:lineRule="auto"/>
        <w:ind w:firstLine="480" w:firstLineChars="200"/>
        <w:rPr>
          <w:sz w:val="24"/>
        </w:rPr>
      </w:pPr>
      <w:r>
        <w:rPr>
          <w:rFonts w:hint="eastAsia"/>
          <w:sz w:val="24"/>
        </w:rPr>
        <w:t>第一种：本公司股东表决权依据以下约定行使：股东A所持有的股权具有完全的表决权；股东B所持有的股权具有50%的表决权。但对股东会会议作出修改公司章程、增加或者减少注册资本的决议，以及公司合并、分立、解散或者变更公司形式的决议，股东A和股东B的表决权是平等的。</w:t>
      </w:r>
    </w:p>
    <w:p>
      <w:pPr>
        <w:spacing w:after="156" w:afterLines="50" w:line="360" w:lineRule="auto"/>
        <w:ind w:firstLine="480" w:firstLineChars="200"/>
        <w:rPr>
          <w:sz w:val="24"/>
        </w:rPr>
      </w:pPr>
      <w:r>
        <w:rPr>
          <w:rFonts w:hint="eastAsia"/>
          <w:sz w:val="24"/>
        </w:rPr>
        <w:t>第二种：全体股东一致同意，股东表决权不按照股东出资比例行使，而应按照下列约定行使：股东A享有70%表决权，股东B享有30%表决权。</w:t>
      </w:r>
    </w:p>
    <w:p>
      <w:pPr>
        <w:numPr>
          <w:ilvl w:val="0"/>
          <w:numId w:val="2"/>
        </w:numPr>
        <w:spacing w:after="156" w:afterLines="50" w:line="360" w:lineRule="auto"/>
        <w:ind w:left="0" w:firstLine="480" w:firstLineChars="200"/>
        <w:rPr>
          <w:sz w:val="24"/>
        </w:rPr>
      </w:pPr>
      <w:r>
        <w:rPr>
          <w:rFonts w:hint="eastAsia"/>
          <w:sz w:val="24"/>
        </w:rPr>
        <w:t>一票否决权的设计：</w:t>
      </w:r>
    </w:p>
    <w:p>
      <w:pPr>
        <w:spacing w:after="156" w:afterLines="50" w:line="360" w:lineRule="auto"/>
        <w:ind w:firstLine="480" w:firstLineChars="200"/>
        <w:rPr>
          <w:sz w:val="24"/>
        </w:rPr>
      </w:pPr>
      <w:r>
        <w:rPr>
          <w:rFonts w:hint="eastAsia"/>
          <w:sz w:val="24"/>
        </w:rPr>
        <w:t>下述事项的决定需经代表2/3以上表决权的股东和股东A的同意方为有效：</w:t>
      </w:r>
    </w:p>
    <w:p>
      <w:pPr>
        <w:numPr>
          <w:ilvl w:val="0"/>
          <w:numId w:val="3"/>
        </w:numPr>
        <w:spacing w:after="156" w:afterLines="50" w:line="360" w:lineRule="auto"/>
        <w:ind w:left="0" w:firstLine="480" w:firstLineChars="200"/>
        <w:rPr>
          <w:sz w:val="24"/>
        </w:rPr>
      </w:pPr>
      <w:r>
        <w:rPr>
          <w:rFonts w:hint="eastAsia"/>
          <w:sz w:val="24"/>
        </w:rPr>
        <w:t>选举和更换非由职工代表担任的董事、监事，决定有关董事、监事的报酬事项；</w:t>
      </w:r>
    </w:p>
    <w:p>
      <w:pPr>
        <w:numPr>
          <w:ilvl w:val="0"/>
          <w:numId w:val="3"/>
        </w:numPr>
        <w:spacing w:after="156" w:afterLines="50" w:line="360" w:lineRule="auto"/>
        <w:ind w:left="0" w:firstLine="480" w:firstLineChars="200"/>
        <w:rPr>
          <w:sz w:val="24"/>
        </w:rPr>
      </w:pPr>
      <w:r>
        <w:rPr>
          <w:rFonts w:hint="eastAsia"/>
          <w:sz w:val="24"/>
        </w:rPr>
        <w:t>审议批准公司的年度财务预算方案、决算方案；</w:t>
      </w:r>
    </w:p>
    <w:p>
      <w:pPr>
        <w:numPr>
          <w:ilvl w:val="0"/>
          <w:numId w:val="3"/>
        </w:numPr>
        <w:spacing w:after="156" w:afterLines="50" w:line="360" w:lineRule="auto"/>
        <w:ind w:left="0" w:firstLine="480" w:firstLineChars="200"/>
        <w:rPr>
          <w:sz w:val="24"/>
        </w:rPr>
      </w:pPr>
      <w:r>
        <w:rPr>
          <w:rFonts w:hint="eastAsia"/>
          <w:sz w:val="24"/>
        </w:rPr>
        <w:t>审议批准公司的利润分配方案和弥补亏损方案；</w:t>
      </w:r>
    </w:p>
    <w:p>
      <w:pPr>
        <w:numPr>
          <w:ilvl w:val="0"/>
          <w:numId w:val="3"/>
        </w:numPr>
        <w:spacing w:after="156" w:afterLines="50" w:line="360" w:lineRule="auto"/>
        <w:ind w:left="0" w:firstLine="480" w:firstLineChars="200"/>
        <w:rPr>
          <w:sz w:val="24"/>
        </w:rPr>
      </w:pPr>
      <w:r>
        <w:rPr>
          <w:rFonts w:hint="eastAsia"/>
          <w:sz w:val="24"/>
        </w:rPr>
        <w:t>对公司增加或者减少注册资本作出决议；</w:t>
      </w:r>
    </w:p>
    <w:p>
      <w:pPr>
        <w:numPr>
          <w:ilvl w:val="0"/>
          <w:numId w:val="3"/>
        </w:numPr>
        <w:spacing w:after="156" w:afterLines="50" w:line="360" w:lineRule="auto"/>
        <w:ind w:left="0" w:firstLine="480" w:firstLineChars="200"/>
        <w:rPr>
          <w:sz w:val="24"/>
        </w:rPr>
      </w:pPr>
      <w:r>
        <w:rPr>
          <w:rFonts w:hint="eastAsia"/>
          <w:sz w:val="24"/>
        </w:rPr>
        <w:t>对发行公司债券作出决议；</w:t>
      </w:r>
    </w:p>
    <w:p>
      <w:pPr>
        <w:numPr>
          <w:ilvl w:val="0"/>
          <w:numId w:val="3"/>
        </w:numPr>
        <w:spacing w:after="156" w:afterLines="50" w:line="360" w:lineRule="auto"/>
        <w:ind w:left="0" w:firstLine="480" w:firstLineChars="200"/>
        <w:rPr>
          <w:sz w:val="24"/>
        </w:rPr>
      </w:pPr>
      <w:r>
        <w:rPr>
          <w:rFonts w:hint="eastAsia"/>
          <w:sz w:val="24"/>
        </w:rPr>
        <w:t>对公司或下属公司合并、分立、变更公司形式、解散和清算等事项作出决议；</w:t>
      </w:r>
    </w:p>
    <w:p>
      <w:pPr>
        <w:numPr>
          <w:ilvl w:val="0"/>
          <w:numId w:val="3"/>
        </w:numPr>
        <w:spacing w:after="156" w:afterLines="50" w:line="360" w:lineRule="auto"/>
        <w:ind w:left="0" w:firstLine="480" w:firstLineChars="200"/>
        <w:rPr>
          <w:sz w:val="24"/>
        </w:rPr>
      </w:pPr>
      <w:r>
        <w:rPr>
          <w:rFonts w:hint="eastAsia"/>
          <w:sz w:val="24"/>
        </w:rPr>
        <w:t>修改公司章程；</w:t>
      </w:r>
    </w:p>
    <w:p>
      <w:pPr>
        <w:numPr>
          <w:ilvl w:val="0"/>
          <w:numId w:val="3"/>
        </w:numPr>
        <w:spacing w:after="156" w:afterLines="50" w:line="360" w:lineRule="auto"/>
        <w:ind w:left="0" w:firstLine="480" w:firstLineChars="200"/>
        <w:rPr>
          <w:sz w:val="24"/>
        </w:rPr>
      </w:pPr>
      <w:r>
        <w:rPr>
          <w:rFonts w:hint="eastAsia"/>
          <w:sz w:val="24"/>
        </w:rPr>
        <w:t>公司或下属公司对外投资；</w:t>
      </w:r>
    </w:p>
    <w:p>
      <w:pPr>
        <w:numPr>
          <w:ilvl w:val="0"/>
          <w:numId w:val="3"/>
        </w:numPr>
        <w:spacing w:after="156" w:afterLines="50" w:line="360" w:lineRule="auto"/>
        <w:ind w:left="0" w:firstLine="480" w:firstLineChars="200"/>
        <w:rPr>
          <w:sz w:val="24"/>
        </w:rPr>
      </w:pPr>
      <w:r>
        <w:rPr>
          <w:rFonts w:hint="eastAsia"/>
          <w:sz w:val="24"/>
        </w:rPr>
        <w:t>从事主营业务以外的业务；</w:t>
      </w:r>
    </w:p>
    <w:p>
      <w:pPr>
        <w:numPr>
          <w:ilvl w:val="0"/>
          <w:numId w:val="3"/>
        </w:numPr>
        <w:spacing w:after="156" w:afterLines="50" w:line="360" w:lineRule="auto"/>
        <w:ind w:left="0" w:firstLine="480" w:firstLineChars="200"/>
        <w:rPr>
          <w:sz w:val="24"/>
        </w:rPr>
      </w:pPr>
      <w:r>
        <w:rPr>
          <w:rFonts w:hint="eastAsia"/>
          <w:sz w:val="24"/>
        </w:rPr>
        <w:t>公司向其他企业投资或者为他人提供担保；</w:t>
      </w:r>
    </w:p>
    <w:p>
      <w:pPr>
        <w:numPr>
          <w:ilvl w:val="0"/>
          <w:numId w:val="3"/>
        </w:numPr>
        <w:spacing w:after="156" w:afterLines="50" w:line="360" w:lineRule="auto"/>
        <w:ind w:left="0" w:firstLine="480" w:firstLineChars="200"/>
        <w:rPr>
          <w:sz w:val="24"/>
        </w:rPr>
      </w:pPr>
      <w:r>
        <w:rPr>
          <w:rFonts w:hint="eastAsia"/>
          <w:sz w:val="24"/>
        </w:rPr>
        <w:t>知识产权、商标、土地使用权等无形资产的处置。</w:t>
      </w:r>
    </w:p>
    <w:p>
      <w:pPr>
        <w:numPr>
          <w:ilvl w:val="0"/>
          <w:numId w:val="1"/>
        </w:numPr>
        <w:spacing w:after="156" w:afterLines="50" w:line="360" w:lineRule="auto"/>
        <w:ind w:firstLine="480" w:firstLineChars="200"/>
        <w:outlineLvl w:val="0"/>
        <w:rPr>
          <w:b/>
          <w:bCs/>
          <w:sz w:val="24"/>
        </w:rPr>
      </w:pPr>
      <w:r>
        <w:rPr>
          <w:rFonts w:hint="eastAsia"/>
          <w:b/>
          <w:bCs/>
          <w:sz w:val="24"/>
        </w:rPr>
        <w:t>公司治理</w:t>
      </w:r>
    </w:p>
    <w:p>
      <w:pPr>
        <w:numPr>
          <w:ilvl w:val="0"/>
          <w:numId w:val="4"/>
        </w:numPr>
        <w:spacing w:after="156" w:afterLines="50" w:line="360" w:lineRule="auto"/>
        <w:ind w:firstLine="480" w:firstLineChars="200"/>
        <w:rPr>
          <w:b/>
          <w:bCs/>
          <w:sz w:val="24"/>
        </w:rPr>
      </w:pPr>
      <w:r>
        <w:rPr>
          <w:rFonts w:hint="eastAsia"/>
          <w:b/>
          <w:bCs/>
          <w:sz w:val="24"/>
        </w:rPr>
        <w:t>剩余权力归属</w:t>
      </w:r>
    </w:p>
    <w:p>
      <w:pPr>
        <w:spacing w:after="156" w:afterLines="50" w:line="360" w:lineRule="auto"/>
        <w:ind w:firstLine="480" w:firstLineChars="200"/>
        <w:rPr>
          <w:sz w:val="24"/>
        </w:rPr>
      </w:pPr>
      <w:r>
        <w:rPr>
          <w:rFonts w:hint="eastAsia"/>
          <w:sz w:val="24"/>
        </w:rPr>
        <w:t>有限责任公司设董事会。董事会是公司的执行机构，行使法律、行政法规和公司章程规定属于股东会职权之外的职权。</w:t>
      </w:r>
    </w:p>
    <w:p>
      <w:pPr>
        <w:spacing w:after="156" w:afterLines="50" w:line="360" w:lineRule="auto"/>
        <w:ind w:firstLine="480" w:firstLineChars="200"/>
        <w:rPr>
          <w:sz w:val="24"/>
        </w:rPr>
      </w:pPr>
      <w:r>
        <w:rPr>
          <w:rFonts w:hint="eastAsia"/>
          <w:sz w:val="24"/>
        </w:rPr>
        <w:t>或：</w:t>
      </w:r>
    </w:p>
    <w:p>
      <w:pPr>
        <w:spacing w:after="156" w:afterLines="50" w:line="360" w:lineRule="auto"/>
        <w:ind w:firstLine="480" w:firstLineChars="200"/>
        <w:rPr>
          <w:sz w:val="24"/>
        </w:rPr>
      </w:pPr>
      <w:r>
        <w:rPr>
          <w:rFonts w:hint="eastAsia"/>
          <w:sz w:val="24"/>
        </w:rPr>
        <w:t>本公司不设董事会，设一名执行董事，行使法律、行政法规和公司章程规定属于股东会职权之外的职权。</w:t>
      </w:r>
    </w:p>
    <w:p>
      <w:pPr>
        <w:numPr>
          <w:ilvl w:val="0"/>
          <w:numId w:val="4"/>
        </w:numPr>
        <w:spacing w:after="156" w:afterLines="50" w:line="360" w:lineRule="auto"/>
        <w:ind w:firstLine="480" w:firstLineChars="200"/>
        <w:rPr>
          <w:b/>
          <w:bCs/>
          <w:sz w:val="24"/>
        </w:rPr>
      </w:pPr>
      <w:r>
        <w:rPr>
          <w:rFonts w:hint="eastAsia"/>
          <w:b/>
          <w:bCs/>
          <w:sz w:val="24"/>
        </w:rPr>
        <w:t>公司经理职权</w:t>
      </w:r>
    </w:p>
    <w:p>
      <w:pPr>
        <w:spacing w:after="156" w:afterLines="50" w:line="360" w:lineRule="auto"/>
        <w:ind w:firstLine="480" w:firstLineChars="200"/>
        <w:rPr>
          <w:b/>
          <w:bCs/>
          <w:sz w:val="24"/>
          <w:u w:val="single"/>
        </w:rPr>
      </w:pPr>
      <w:r>
        <w:rPr>
          <w:rFonts w:hint="eastAsia"/>
          <w:b/>
          <w:bCs/>
          <w:sz w:val="24"/>
          <w:u w:val="single"/>
        </w:rPr>
        <w:t>适用于章程规定经理职权：</w:t>
      </w:r>
    </w:p>
    <w:p>
      <w:pPr>
        <w:spacing w:after="156" w:afterLines="50" w:line="360" w:lineRule="auto"/>
        <w:ind w:firstLine="480" w:firstLineChars="200"/>
        <w:rPr>
          <w:sz w:val="24"/>
        </w:rPr>
      </w:pPr>
      <w:r>
        <w:rPr>
          <w:rFonts w:hint="eastAsia"/>
          <w:sz w:val="24"/>
        </w:rPr>
        <w:t>经理对董事会负责，行使下列职权：</w:t>
      </w:r>
    </w:p>
    <w:p>
      <w:pPr>
        <w:numPr>
          <w:ilvl w:val="0"/>
          <w:numId w:val="5"/>
        </w:numPr>
        <w:spacing w:after="156" w:afterLines="50" w:line="360" w:lineRule="auto"/>
        <w:ind w:left="0" w:firstLine="480" w:firstLineChars="200"/>
        <w:rPr>
          <w:sz w:val="24"/>
        </w:rPr>
      </w:pPr>
      <w:r>
        <w:rPr>
          <w:sz w:val="24"/>
        </w:rPr>
        <w:t>主持公司的生产经营管理工作，组织实施董事会、监事会决策、决议、方针、政策和发展规划，并向董事会报告；</w:t>
      </w:r>
    </w:p>
    <w:p>
      <w:pPr>
        <w:numPr>
          <w:ilvl w:val="0"/>
          <w:numId w:val="5"/>
        </w:numPr>
        <w:spacing w:after="156" w:afterLines="50" w:line="360" w:lineRule="auto"/>
        <w:ind w:left="0" w:firstLine="480" w:firstLineChars="200"/>
        <w:rPr>
          <w:sz w:val="24"/>
        </w:rPr>
      </w:pPr>
      <w:r>
        <w:rPr>
          <w:sz w:val="24"/>
        </w:rPr>
        <w:t>组织实施公司</w:t>
      </w:r>
      <w:bookmarkStart w:id="0" w:name="_GoBack"/>
      <w:bookmarkEnd w:id="0"/>
      <w:r>
        <w:rPr>
          <w:sz w:val="24"/>
        </w:rPr>
        <w:t>年度计划、预算和投资方案；</w:t>
      </w:r>
    </w:p>
    <w:p>
      <w:pPr>
        <w:numPr>
          <w:ilvl w:val="0"/>
          <w:numId w:val="5"/>
        </w:numPr>
        <w:spacing w:after="156" w:afterLines="50" w:line="360" w:lineRule="auto"/>
        <w:ind w:left="0" w:firstLine="480" w:firstLineChars="200"/>
        <w:rPr>
          <w:sz w:val="24"/>
        </w:rPr>
      </w:pPr>
      <w:r>
        <w:rPr>
          <w:sz w:val="24"/>
        </w:rPr>
        <w:t>拟定公司内部管理机构设置方案；</w:t>
      </w:r>
    </w:p>
    <w:p>
      <w:pPr>
        <w:numPr>
          <w:ilvl w:val="0"/>
          <w:numId w:val="5"/>
        </w:numPr>
        <w:spacing w:after="156" w:afterLines="50" w:line="360" w:lineRule="auto"/>
        <w:ind w:left="0" w:firstLine="480" w:firstLineChars="200"/>
        <w:rPr>
          <w:sz w:val="24"/>
        </w:rPr>
      </w:pPr>
      <w:r>
        <w:rPr>
          <w:sz w:val="24"/>
        </w:rPr>
        <w:t>负责召集公司日常经营分析会；</w:t>
      </w:r>
    </w:p>
    <w:p>
      <w:pPr>
        <w:numPr>
          <w:ilvl w:val="0"/>
          <w:numId w:val="5"/>
        </w:numPr>
        <w:spacing w:after="156" w:afterLines="50" w:line="360" w:lineRule="auto"/>
        <w:ind w:left="0" w:firstLine="480" w:firstLineChars="200"/>
        <w:rPr>
          <w:sz w:val="24"/>
        </w:rPr>
      </w:pPr>
      <w:r>
        <w:rPr>
          <w:sz w:val="24"/>
        </w:rPr>
        <w:t>负责协调子公司的日常经营管理；</w:t>
      </w:r>
    </w:p>
    <w:p>
      <w:pPr>
        <w:numPr>
          <w:ilvl w:val="0"/>
          <w:numId w:val="5"/>
        </w:numPr>
        <w:spacing w:after="156" w:afterLines="50" w:line="360" w:lineRule="auto"/>
        <w:ind w:left="0" w:firstLine="480" w:firstLineChars="200"/>
        <w:rPr>
          <w:sz w:val="24"/>
        </w:rPr>
      </w:pPr>
      <w:r>
        <w:rPr>
          <w:sz w:val="24"/>
        </w:rPr>
        <w:t>起草公司的年度发展规划、经营方针及年度经营计划；</w:t>
      </w:r>
    </w:p>
    <w:p>
      <w:pPr>
        <w:numPr>
          <w:ilvl w:val="0"/>
          <w:numId w:val="5"/>
        </w:numPr>
        <w:spacing w:after="156" w:afterLines="50" w:line="360" w:lineRule="auto"/>
        <w:ind w:left="0" w:firstLine="480" w:firstLineChars="200"/>
        <w:rPr>
          <w:sz w:val="24"/>
        </w:rPr>
      </w:pPr>
      <w:r>
        <w:rPr>
          <w:sz w:val="24"/>
        </w:rPr>
        <w:t>拟定公司的基本管理制度；</w:t>
      </w:r>
    </w:p>
    <w:p>
      <w:pPr>
        <w:numPr>
          <w:ilvl w:val="0"/>
          <w:numId w:val="5"/>
        </w:numPr>
        <w:spacing w:after="156" w:afterLines="50" w:line="360" w:lineRule="auto"/>
        <w:ind w:left="0" w:firstLine="480" w:firstLineChars="200"/>
        <w:rPr>
          <w:sz w:val="24"/>
        </w:rPr>
      </w:pPr>
      <w:r>
        <w:rPr>
          <w:sz w:val="24"/>
        </w:rPr>
        <w:t>拟定公司具体规章制度；</w:t>
      </w:r>
    </w:p>
    <w:p>
      <w:pPr>
        <w:numPr>
          <w:ilvl w:val="0"/>
          <w:numId w:val="5"/>
        </w:numPr>
        <w:spacing w:after="156" w:afterLines="50" w:line="360" w:lineRule="auto"/>
        <w:ind w:left="0" w:firstLine="480" w:firstLineChars="200"/>
        <w:rPr>
          <w:sz w:val="24"/>
        </w:rPr>
      </w:pPr>
      <w:r>
        <w:rPr>
          <w:sz w:val="24"/>
        </w:rPr>
        <w:t>负责向董事会提交年度工作报告和其他报告；</w:t>
      </w:r>
    </w:p>
    <w:p>
      <w:pPr>
        <w:numPr>
          <w:ilvl w:val="0"/>
          <w:numId w:val="5"/>
        </w:numPr>
        <w:tabs>
          <w:tab w:val="left" w:pos="840"/>
          <w:tab w:val="left" w:pos="1260"/>
        </w:tabs>
        <w:spacing w:after="156" w:afterLines="50" w:line="360" w:lineRule="auto"/>
        <w:ind w:left="0" w:firstLine="480" w:firstLineChars="200"/>
        <w:rPr>
          <w:sz w:val="24"/>
        </w:rPr>
      </w:pPr>
      <w:r>
        <w:rPr>
          <w:sz w:val="24"/>
        </w:rPr>
        <w:t>提请董事会聘任或者解聘公司副经理</w:t>
      </w:r>
      <w:r>
        <w:rPr>
          <w:rFonts w:hint="eastAsia"/>
          <w:sz w:val="24"/>
        </w:rPr>
        <w:t>、财务负责人</w:t>
      </w:r>
      <w:r>
        <w:rPr>
          <w:sz w:val="24"/>
        </w:rPr>
        <w:t>及须经公司董事会任命的其他高级管理人员；</w:t>
      </w:r>
    </w:p>
    <w:p>
      <w:pPr>
        <w:numPr>
          <w:ilvl w:val="0"/>
          <w:numId w:val="5"/>
        </w:numPr>
        <w:spacing w:after="156" w:afterLines="50" w:line="360" w:lineRule="auto"/>
        <w:ind w:left="0" w:firstLine="480" w:firstLineChars="200"/>
        <w:rPr>
          <w:sz w:val="24"/>
        </w:rPr>
      </w:pPr>
      <w:r>
        <w:rPr>
          <w:sz w:val="24"/>
        </w:rPr>
        <w:t>聘任或解聘除应由董事会聘任或解聘以外的管理人员，确定其考核薪酬；</w:t>
      </w:r>
    </w:p>
    <w:p>
      <w:pPr>
        <w:numPr>
          <w:ilvl w:val="0"/>
          <w:numId w:val="5"/>
        </w:numPr>
        <w:spacing w:after="156" w:afterLines="50" w:line="360" w:lineRule="auto"/>
        <w:ind w:left="0" w:firstLine="480" w:firstLineChars="200"/>
        <w:rPr>
          <w:sz w:val="24"/>
        </w:rPr>
      </w:pPr>
      <w:r>
        <w:rPr>
          <w:sz w:val="24"/>
        </w:rPr>
        <w:t>提议召开董事会临时会议；</w:t>
      </w:r>
    </w:p>
    <w:p>
      <w:pPr>
        <w:numPr>
          <w:ilvl w:val="0"/>
          <w:numId w:val="5"/>
        </w:numPr>
        <w:spacing w:after="156" w:afterLines="50" w:line="360" w:lineRule="auto"/>
        <w:ind w:left="0" w:firstLine="480" w:firstLineChars="200"/>
        <w:rPr>
          <w:sz w:val="24"/>
        </w:rPr>
      </w:pPr>
      <w:r>
        <w:rPr>
          <w:sz w:val="24"/>
        </w:rPr>
        <w:t>协调公司各部门的运作；</w:t>
      </w:r>
    </w:p>
    <w:p>
      <w:pPr>
        <w:numPr>
          <w:ilvl w:val="0"/>
          <w:numId w:val="5"/>
        </w:numPr>
        <w:spacing w:after="156" w:afterLines="50" w:line="360" w:lineRule="auto"/>
        <w:ind w:left="0" w:firstLine="480" w:firstLineChars="200"/>
        <w:rPr>
          <w:sz w:val="24"/>
        </w:rPr>
      </w:pPr>
      <w:r>
        <w:rPr>
          <w:sz w:val="24"/>
        </w:rPr>
        <w:t>审批公司预算内的各项费用支出；</w:t>
      </w:r>
    </w:p>
    <w:p>
      <w:pPr>
        <w:numPr>
          <w:ilvl w:val="0"/>
          <w:numId w:val="5"/>
        </w:numPr>
        <w:spacing w:after="156" w:afterLines="50" w:line="360" w:lineRule="auto"/>
        <w:ind w:left="0" w:firstLine="480" w:firstLineChars="200"/>
        <w:rPr>
          <w:sz w:val="24"/>
        </w:rPr>
      </w:pPr>
      <w:r>
        <w:rPr>
          <w:sz w:val="24"/>
        </w:rPr>
        <w:t>拟定公司职工的工资、福利、奖惩，决定公司职工的聘任和解聘；</w:t>
      </w:r>
    </w:p>
    <w:p>
      <w:pPr>
        <w:numPr>
          <w:ilvl w:val="0"/>
          <w:numId w:val="5"/>
        </w:numPr>
        <w:spacing w:after="156" w:afterLines="50" w:line="360" w:lineRule="auto"/>
        <w:ind w:left="0" w:firstLine="480" w:firstLineChars="200"/>
        <w:rPr>
          <w:sz w:val="24"/>
        </w:rPr>
      </w:pPr>
      <w:r>
        <w:rPr>
          <w:sz w:val="24"/>
        </w:rPr>
        <w:t>负责公司业务开拓、人员培训；</w:t>
      </w:r>
    </w:p>
    <w:p>
      <w:pPr>
        <w:numPr>
          <w:ilvl w:val="0"/>
          <w:numId w:val="5"/>
        </w:numPr>
        <w:spacing w:after="156" w:afterLines="50" w:line="360" w:lineRule="auto"/>
        <w:ind w:left="0" w:firstLine="480" w:firstLineChars="200"/>
        <w:rPr>
          <w:sz w:val="24"/>
        </w:rPr>
      </w:pPr>
      <w:r>
        <w:rPr>
          <w:sz w:val="24"/>
        </w:rPr>
        <w:t>公司章程和董事会授权的其他事项。</w:t>
      </w:r>
    </w:p>
    <w:p>
      <w:pPr>
        <w:spacing w:after="156" w:afterLines="50" w:line="360" w:lineRule="auto"/>
        <w:ind w:firstLine="480" w:firstLineChars="200"/>
        <w:rPr>
          <w:b/>
          <w:bCs/>
          <w:sz w:val="24"/>
          <w:u w:val="single"/>
        </w:rPr>
      </w:pPr>
      <w:r>
        <w:rPr>
          <w:rFonts w:hint="eastAsia"/>
          <w:b/>
          <w:bCs/>
          <w:sz w:val="24"/>
          <w:u w:val="single"/>
        </w:rPr>
        <w:t>适用于章程不规定经理职权：</w:t>
      </w:r>
    </w:p>
    <w:p>
      <w:pPr>
        <w:spacing w:after="156" w:afterLines="50" w:line="360" w:lineRule="auto"/>
        <w:ind w:firstLine="480" w:firstLineChars="200"/>
        <w:rPr>
          <w:sz w:val="24"/>
        </w:rPr>
      </w:pPr>
      <w:r>
        <w:rPr>
          <w:rFonts w:hint="eastAsia"/>
          <w:sz w:val="24"/>
        </w:rPr>
        <w:t>经理根据董事会的授权行使职权。</w:t>
      </w:r>
    </w:p>
    <w:p>
      <w:pPr>
        <w:numPr>
          <w:ilvl w:val="0"/>
          <w:numId w:val="4"/>
        </w:numPr>
        <w:spacing w:after="156" w:afterLines="50" w:line="360" w:lineRule="auto"/>
        <w:ind w:firstLine="480" w:firstLineChars="200"/>
        <w:rPr>
          <w:b/>
          <w:bCs/>
          <w:sz w:val="24"/>
        </w:rPr>
      </w:pPr>
      <w:r>
        <w:rPr>
          <w:rFonts w:hint="eastAsia"/>
          <w:b/>
          <w:bCs/>
          <w:sz w:val="24"/>
        </w:rPr>
        <w:t>公司对外担保</w:t>
      </w:r>
    </w:p>
    <w:p>
      <w:pPr>
        <w:spacing w:after="156" w:afterLines="50" w:line="360" w:lineRule="auto"/>
        <w:ind w:firstLine="480" w:firstLineChars="200"/>
        <w:rPr>
          <w:sz w:val="24"/>
        </w:rPr>
      </w:pPr>
      <w:r>
        <w:rPr>
          <w:rFonts w:hint="eastAsia"/>
          <w:sz w:val="24"/>
        </w:rPr>
        <w:t>公司下列对外担保行为，须经代表三分之二以上表决权的股东通过：</w:t>
      </w:r>
    </w:p>
    <w:p>
      <w:pPr>
        <w:numPr>
          <w:ilvl w:val="0"/>
          <w:numId w:val="6"/>
        </w:numPr>
        <w:spacing w:after="156" w:afterLines="50" w:line="360" w:lineRule="auto"/>
        <w:ind w:left="0" w:firstLine="480" w:firstLineChars="200"/>
        <w:rPr>
          <w:sz w:val="24"/>
        </w:rPr>
      </w:pPr>
      <w:r>
        <w:rPr>
          <w:rFonts w:hint="eastAsia"/>
          <w:sz w:val="24"/>
        </w:rPr>
        <w:t>本公司及本公司控股子公司的对外担保总额，达到或超过最近一期经审计净资产的50%以后提供的任何担保；</w:t>
      </w:r>
    </w:p>
    <w:p>
      <w:pPr>
        <w:numPr>
          <w:ilvl w:val="0"/>
          <w:numId w:val="6"/>
        </w:numPr>
        <w:spacing w:after="156" w:afterLines="50" w:line="360" w:lineRule="auto"/>
        <w:ind w:left="0" w:firstLine="480" w:firstLineChars="200"/>
        <w:rPr>
          <w:sz w:val="24"/>
        </w:rPr>
      </w:pPr>
      <w:r>
        <w:rPr>
          <w:rFonts w:hint="eastAsia"/>
          <w:sz w:val="24"/>
        </w:rPr>
        <w:t>公司的对外担保总额，达到或超过最近一期经审计总资产的30%以后提供的任何担保；</w:t>
      </w:r>
    </w:p>
    <w:p>
      <w:pPr>
        <w:numPr>
          <w:ilvl w:val="0"/>
          <w:numId w:val="6"/>
        </w:numPr>
        <w:spacing w:after="156" w:afterLines="50" w:line="360" w:lineRule="auto"/>
        <w:ind w:left="0" w:firstLine="480" w:firstLineChars="200"/>
        <w:rPr>
          <w:sz w:val="24"/>
        </w:rPr>
      </w:pPr>
      <w:r>
        <w:rPr>
          <w:rFonts w:hint="eastAsia"/>
          <w:sz w:val="24"/>
        </w:rPr>
        <w:t>为资产负债率超过70%的担保对象提供的担保；</w:t>
      </w:r>
    </w:p>
    <w:p>
      <w:pPr>
        <w:numPr>
          <w:ilvl w:val="0"/>
          <w:numId w:val="6"/>
        </w:numPr>
        <w:spacing w:after="156" w:afterLines="50" w:line="360" w:lineRule="auto"/>
        <w:ind w:left="0" w:firstLine="480" w:firstLineChars="200"/>
        <w:rPr>
          <w:sz w:val="24"/>
        </w:rPr>
      </w:pPr>
      <w:r>
        <w:rPr>
          <w:rFonts w:hint="eastAsia"/>
          <w:sz w:val="24"/>
        </w:rPr>
        <w:t>单笔担保额超过最近一期经审计净资产10%的担保；</w:t>
      </w:r>
    </w:p>
    <w:p>
      <w:pPr>
        <w:numPr>
          <w:ilvl w:val="0"/>
          <w:numId w:val="6"/>
        </w:numPr>
        <w:spacing w:after="156" w:afterLines="50" w:line="360" w:lineRule="auto"/>
        <w:ind w:left="0" w:firstLine="480" w:firstLineChars="200"/>
        <w:rPr>
          <w:sz w:val="24"/>
        </w:rPr>
      </w:pPr>
      <w:r>
        <w:rPr>
          <w:rFonts w:hint="eastAsia"/>
          <w:sz w:val="24"/>
        </w:rPr>
        <w:t>对股东、实际控制人及其关联方提供的担保。</w:t>
      </w:r>
    </w:p>
    <w:p>
      <w:pPr>
        <w:spacing w:after="156" w:afterLines="50" w:line="360" w:lineRule="auto"/>
        <w:ind w:firstLine="480" w:firstLineChars="200"/>
        <w:rPr>
          <w:sz w:val="24"/>
        </w:rPr>
      </w:pPr>
      <w:r>
        <w:rPr>
          <w:rFonts w:hint="eastAsia"/>
          <w:sz w:val="24"/>
        </w:rPr>
        <w:t>公司其他对外担保行为，由董事会审议。</w:t>
      </w:r>
    </w:p>
    <w:p>
      <w:pPr>
        <w:numPr>
          <w:ilvl w:val="0"/>
          <w:numId w:val="4"/>
        </w:numPr>
        <w:spacing w:after="156" w:afterLines="50" w:line="360" w:lineRule="auto"/>
        <w:ind w:firstLine="480" w:firstLineChars="200"/>
        <w:rPr>
          <w:b/>
          <w:bCs/>
          <w:sz w:val="24"/>
        </w:rPr>
      </w:pPr>
      <w:r>
        <w:rPr>
          <w:rFonts w:hint="eastAsia"/>
          <w:b/>
          <w:bCs/>
          <w:sz w:val="24"/>
        </w:rPr>
        <w:tab/>
      </w:r>
      <w:r>
        <w:rPr>
          <w:rFonts w:hint="eastAsia"/>
          <w:b/>
          <w:bCs/>
          <w:sz w:val="24"/>
        </w:rPr>
        <w:t>董事、监事、高级管理人员自我交易、商业机会、同业竞争审议</w:t>
      </w:r>
    </w:p>
    <w:p>
      <w:pPr>
        <w:spacing w:after="156" w:afterLines="50" w:line="360" w:lineRule="auto"/>
        <w:ind w:firstLine="480" w:firstLineChars="200"/>
        <w:rPr>
          <w:sz w:val="24"/>
        </w:rPr>
      </w:pPr>
      <w:r>
        <w:rPr>
          <w:rFonts w:hint="eastAsia"/>
          <w:sz w:val="24"/>
        </w:rPr>
        <w:t>董事、监事、高级管理人员拟发生如下情形的，应向董事会报告，并由董事会按照公司章程规定的期限（会议召开十五日前）通知全体股东召开股东会会议。全体股东书面同意或者全体均出席会议的，可豁免前述会议通知期限要求：</w:t>
      </w:r>
    </w:p>
    <w:p>
      <w:pPr>
        <w:numPr>
          <w:ilvl w:val="0"/>
          <w:numId w:val="7"/>
        </w:numPr>
        <w:spacing w:after="156" w:afterLines="50" w:line="360" w:lineRule="auto"/>
        <w:ind w:left="0" w:firstLine="480" w:firstLineChars="200"/>
        <w:rPr>
          <w:sz w:val="24"/>
        </w:rPr>
      </w:pPr>
      <w:r>
        <w:rPr>
          <w:sz w:val="24"/>
        </w:rPr>
        <w:t>董事、监事、高级管理人员，直接或者间接与</w:t>
      </w:r>
      <w:r>
        <w:rPr>
          <w:rFonts w:hint="eastAsia"/>
          <w:sz w:val="24"/>
        </w:rPr>
        <w:t>本</w:t>
      </w:r>
      <w:r>
        <w:rPr>
          <w:sz w:val="24"/>
        </w:rPr>
        <w:t>公司订立合同或者进行交易</w:t>
      </w:r>
      <w:r>
        <w:rPr>
          <w:rFonts w:hint="eastAsia"/>
          <w:sz w:val="24"/>
        </w:rPr>
        <w:t>，或董事、监事、高级管理人员的近亲属，董事、监事、高级管理人员或者其近亲属直接或者间接控制的企业，以及与董事、监事、高级管理人员有其他关联关系的关联人，与本公司订立合同或者进行交易；</w:t>
      </w:r>
    </w:p>
    <w:p>
      <w:pPr>
        <w:numPr>
          <w:ilvl w:val="0"/>
          <w:numId w:val="7"/>
        </w:numPr>
        <w:spacing w:after="156" w:afterLines="50" w:line="360" w:lineRule="auto"/>
        <w:ind w:left="0" w:firstLine="480" w:firstLineChars="200"/>
        <w:rPr>
          <w:sz w:val="24"/>
        </w:rPr>
      </w:pPr>
      <w:r>
        <w:rPr>
          <w:rFonts w:hint="eastAsia"/>
          <w:sz w:val="24"/>
        </w:rPr>
        <w:t>董事、监事、高级管理人员</w:t>
      </w:r>
      <w:r>
        <w:rPr>
          <w:sz w:val="24"/>
        </w:rPr>
        <w:t>为自己或者他人谋取属于</w:t>
      </w:r>
      <w:r>
        <w:rPr>
          <w:rFonts w:hint="eastAsia"/>
          <w:sz w:val="24"/>
        </w:rPr>
        <w:t>本</w:t>
      </w:r>
      <w:r>
        <w:rPr>
          <w:sz w:val="24"/>
        </w:rPr>
        <w:t>公司的商业机会</w:t>
      </w:r>
      <w:r>
        <w:rPr>
          <w:rFonts w:hint="eastAsia"/>
          <w:sz w:val="24"/>
        </w:rPr>
        <w:t>，根据法律、行政法规或者公司章程的规定本公司不能利用该商业机会的除外；</w:t>
      </w:r>
    </w:p>
    <w:p>
      <w:pPr>
        <w:numPr>
          <w:ilvl w:val="0"/>
          <w:numId w:val="7"/>
        </w:numPr>
        <w:spacing w:after="156" w:afterLines="50" w:line="360" w:lineRule="auto"/>
        <w:ind w:left="0" w:firstLine="480" w:firstLineChars="200"/>
        <w:rPr>
          <w:sz w:val="24"/>
        </w:rPr>
      </w:pPr>
      <w:r>
        <w:rPr>
          <w:sz w:val="24"/>
        </w:rPr>
        <w:t>自营或者为他人经营与</w:t>
      </w:r>
      <w:r>
        <w:rPr>
          <w:rFonts w:hint="eastAsia"/>
          <w:sz w:val="24"/>
        </w:rPr>
        <w:t>本</w:t>
      </w:r>
      <w:r>
        <w:rPr>
          <w:sz w:val="24"/>
        </w:rPr>
        <w:t>公司同类的业务</w:t>
      </w:r>
      <w:r>
        <w:rPr>
          <w:rFonts w:hint="eastAsia"/>
          <w:sz w:val="24"/>
        </w:rPr>
        <w:t>。</w:t>
      </w:r>
    </w:p>
    <w:p>
      <w:pPr>
        <w:spacing w:after="156" w:afterLines="50" w:line="360" w:lineRule="auto"/>
        <w:ind w:firstLine="480" w:firstLineChars="200"/>
        <w:rPr>
          <w:sz w:val="24"/>
        </w:rPr>
      </w:pPr>
      <w:r>
        <w:rPr>
          <w:rFonts w:hint="eastAsia"/>
          <w:sz w:val="24"/>
        </w:rPr>
        <w:t>上述事项须经代表三分之二以上表决权的股东通过。关联股东不得参与表决，其表决权不计入表决权总数。</w:t>
      </w:r>
    </w:p>
    <w:p>
      <w:pPr>
        <w:numPr>
          <w:ilvl w:val="0"/>
          <w:numId w:val="4"/>
        </w:numPr>
        <w:spacing w:after="156" w:afterLines="50" w:line="360" w:lineRule="auto"/>
        <w:ind w:firstLine="480" w:firstLineChars="200"/>
        <w:rPr>
          <w:b/>
          <w:bCs/>
          <w:sz w:val="24"/>
        </w:rPr>
      </w:pPr>
      <w:r>
        <w:rPr>
          <w:rFonts w:hint="eastAsia"/>
          <w:b/>
          <w:bCs/>
          <w:sz w:val="24"/>
        </w:rPr>
        <w:t>公司合并</w:t>
      </w:r>
    </w:p>
    <w:p>
      <w:pPr>
        <w:spacing w:after="156" w:afterLines="50" w:line="360" w:lineRule="auto"/>
        <w:ind w:firstLine="480" w:firstLineChars="200"/>
        <w:rPr>
          <w:sz w:val="24"/>
        </w:rPr>
      </w:pPr>
      <w:r>
        <w:rPr>
          <w:rFonts w:hint="eastAsia"/>
          <w:sz w:val="24"/>
        </w:rPr>
        <w:t>任何公司合并（含公司支付的价款不超过本公司净资产百分之十的合并）均应当经代表三分之二以上表决权的股东通过。</w:t>
      </w:r>
    </w:p>
    <w:p>
      <w:pPr>
        <w:numPr>
          <w:ilvl w:val="0"/>
          <w:numId w:val="4"/>
        </w:numPr>
        <w:spacing w:after="156" w:afterLines="50" w:line="360" w:lineRule="auto"/>
        <w:ind w:firstLine="480" w:firstLineChars="200"/>
        <w:rPr>
          <w:b/>
          <w:bCs/>
          <w:sz w:val="24"/>
        </w:rPr>
      </w:pPr>
      <w:r>
        <w:rPr>
          <w:rFonts w:hint="eastAsia"/>
          <w:b/>
          <w:bCs/>
          <w:sz w:val="24"/>
        </w:rPr>
        <w:t>开会形式（以股东会为例）</w:t>
      </w:r>
    </w:p>
    <w:p>
      <w:pPr>
        <w:spacing w:after="156" w:afterLines="50" w:line="360" w:lineRule="auto"/>
        <w:ind w:firstLine="480" w:firstLineChars="200"/>
        <w:rPr>
          <w:sz w:val="24"/>
        </w:rPr>
      </w:pPr>
      <w:r>
        <w:rPr>
          <w:rFonts w:hint="eastAsia"/>
          <w:sz w:val="24"/>
        </w:rPr>
        <w:t>股东会均应当采用现场会议形式召开。但是，全体股东均出席以电子通信方式召开的股东会的，视为全体股东豁免前述现场会议要求。</w:t>
      </w:r>
    </w:p>
    <w:p>
      <w:pPr>
        <w:spacing w:after="156" w:afterLines="50" w:line="360" w:lineRule="auto"/>
        <w:ind w:firstLine="480" w:firstLineChars="200"/>
        <w:rPr>
          <w:sz w:val="24"/>
        </w:rPr>
      </w:pPr>
      <w:r>
        <w:rPr>
          <w:rFonts w:hint="eastAsia"/>
          <w:sz w:val="24"/>
        </w:rPr>
        <w:t>或：</w:t>
      </w:r>
    </w:p>
    <w:p>
      <w:pPr>
        <w:spacing w:after="156" w:afterLines="50" w:line="360" w:lineRule="auto"/>
        <w:ind w:firstLine="480" w:firstLineChars="200"/>
        <w:rPr>
          <w:sz w:val="24"/>
        </w:rPr>
      </w:pPr>
      <w:r>
        <w:rPr>
          <w:rFonts w:hint="eastAsia"/>
          <w:sz w:val="24"/>
        </w:rPr>
        <w:t>股东会可采用电子通信方式召开，电子通信方式包括：线上视频、线上语音电话，但不包括微信文字会议。</w:t>
      </w:r>
    </w:p>
    <w:p>
      <w:pPr>
        <w:numPr>
          <w:ilvl w:val="0"/>
          <w:numId w:val="1"/>
        </w:numPr>
        <w:spacing w:after="156" w:afterLines="50" w:line="360" w:lineRule="auto"/>
        <w:ind w:firstLine="480" w:firstLineChars="200"/>
        <w:outlineLvl w:val="0"/>
        <w:rPr>
          <w:b/>
          <w:bCs/>
          <w:sz w:val="24"/>
        </w:rPr>
      </w:pPr>
      <w:r>
        <w:rPr>
          <w:rFonts w:hint="eastAsia"/>
          <w:b/>
          <w:bCs/>
          <w:sz w:val="24"/>
        </w:rPr>
        <w:t>联系方式和送达</w:t>
      </w:r>
    </w:p>
    <w:p>
      <w:pPr>
        <w:spacing w:after="156" w:afterLines="50" w:line="360" w:lineRule="auto"/>
        <w:ind w:firstLine="480" w:firstLineChars="200"/>
        <w:rPr>
          <w:sz w:val="24"/>
        </w:rPr>
      </w:pPr>
      <w:r>
        <w:rPr>
          <w:rFonts w:hint="eastAsia"/>
          <w:sz w:val="24"/>
        </w:rPr>
        <w:t>本章程规定任何一方向其他方发出的所有通知或书面通讯应以中文书写，以传真、电子邮件、派员直接送达或速递服务公司递交的方式，传送或发送至有关方，并在下述条件下送达生效：</w:t>
      </w:r>
    </w:p>
    <w:p>
      <w:pPr>
        <w:numPr>
          <w:ilvl w:val="2"/>
          <w:numId w:val="8"/>
        </w:numPr>
        <w:tabs>
          <w:tab w:val="clear" w:pos="1872"/>
        </w:tabs>
        <w:spacing w:after="156" w:afterLines="50" w:line="360" w:lineRule="auto"/>
        <w:ind w:left="0" w:firstLine="480" w:firstLineChars="200"/>
        <w:rPr>
          <w:sz w:val="24"/>
        </w:rPr>
      </w:pPr>
      <w:r>
        <w:rPr>
          <w:sz w:val="24"/>
        </w:rPr>
        <w:t>以专人递送的，在专人递送之交付日视为送达</w:t>
      </w:r>
      <w:r>
        <w:rPr>
          <w:rFonts w:hint="eastAsia"/>
          <w:sz w:val="24"/>
        </w:rPr>
        <w:t>；</w:t>
      </w:r>
      <w:r>
        <w:rPr>
          <w:sz w:val="24"/>
        </w:rPr>
        <w:t>收件人未签收的，</w:t>
      </w:r>
      <w:r>
        <w:rPr>
          <w:rFonts w:hint="eastAsia"/>
          <w:sz w:val="24"/>
        </w:rPr>
        <w:t>以专人在送达回证上记明情况之日视为送达之日；</w:t>
      </w:r>
    </w:p>
    <w:p>
      <w:pPr>
        <w:numPr>
          <w:ilvl w:val="2"/>
          <w:numId w:val="8"/>
        </w:numPr>
        <w:tabs>
          <w:tab w:val="clear" w:pos="1872"/>
        </w:tabs>
        <w:spacing w:after="156" w:afterLines="50" w:line="360" w:lineRule="auto"/>
        <w:ind w:left="0" w:firstLine="480" w:firstLineChars="200"/>
        <w:rPr>
          <w:sz w:val="24"/>
        </w:rPr>
      </w:pPr>
      <w:r>
        <w:rPr>
          <w:sz w:val="24"/>
        </w:rPr>
        <w:t>特快专递或挂号信方式发出的，以收件人签收日为送达日；收件人未签收的，以寄出日后的第5个工作日视为送达</w:t>
      </w:r>
      <w:r>
        <w:rPr>
          <w:rFonts w:hint="eastAsia"/>
          <w:sz w:val="24"/>
        </w:rPr>
        <w:t>；</w:t>
      </w:r>
    </w:p>
    <w:p>
      <w:pPr>
        <w:numPr>
          <w:ilvl w:val="2"/>
          <w:numId w:val="8"/>
        </w:numPr>
        <w:tabs>
          <w:tab w:val="clear" w:pos="1872"/>
        </w:tabs>
        <w:spacing w:after="156" w:afterLines="50" w:line="360" w:lineRule="auto"/>
        <w:ind w:left="0" w:firstLine="480" w:firstLineChars="200"/>
        <w:rPr>
          <w:sz w:val="24"/>
        </w:rPr>
      </w:pPr>
      <w:r>
        <w:rPr>
          <w:sz w:val="24"/>
        </w:rPr>
        <w:t>以传真方式发出的，以发出方收到传真发出确认回执时视为送达</w:t>
      </w:r>
      <w:r>
        <w:rPr>
          <w:rFonts w:hint="eastAsia"/>
          <w:sz w:val="24"/>
        </w:rPr>
        <w:t>；</w:t>
      </w:r>
    </w:p>
    <w:p>
      <w:pPr>
        <w:numPr>
          <w:ilvl w:val="2"/>
          <w:numId w:val="8"/>
        </w:numPr>
        <w:tabs>
          <w:tab w:val="clear" w:pos="1872"/>
        </w:tabs>
        <w:spacing w:after="156" w:afterLines="50" w:line="360" w:lineRule="auto"/>
        <w:ind w:left="0" w:firstLine="480" w:firstLineChars="200"/>
        <w:rPr>
          <w:sz w:val="24"/>
        </w:rPr>
      </w:pPr>
      <w:r>
        <w:rPr>
          <w:rFonts w:hint="eastAsia"/>
          <w:sz w:val="24"/>
        </w:rPr>
        <w:t>以邮件方式发出的，电子邮件发出时视为送达；</w:t>
      </w:r>
    </w:p>
    <w:p>
      <w:pPr>
        <w:numPr>
          <w:ilvl w:val="2"/>
          <w:numId w:val="8"/>
        </w:numPr>
        <w:tabs>
          <w:tab w:val="clear" w:pos="1872"/>
        </w:tabs>
        <w:spacing w:after="156" w:afterLines="50" w:line="360" w:lineRule="auto"/>
        <w:ind w:left="0" w:firstLine="480" w:firstLineChars="200"/>
        <w:rPr>
          <w:sz w:val="24"/>
        </w:rPr>
      </w:pPr>
      <w:r>
        <w:rPr>
          <w:sz w:val="24"/>
        </w:rPr>
        <w:t>同时采用上述几种方式的，以其中最快达到对方者为准。</w:t>
      </w:r>
    </w:p>
    <w:p>
      <w:pPr>
        <w:spacing w:after="156" w:afterLines="50" w:line="360" w:lineRule="auto"/>
        <w:ind w:firstLine="480" w:firstLineChars="200"/>
        <w:rPr>
          <w:sz w:val="24"/>
        </w:rPr>
      </w:pPr>
      <w:r>
        <w:rPr>
          <w:rFonts w:hint="eastAsia"/>
          <w:sz w:val="24"/>
        </w:rPr>
        <w:t>各方联系方式的使用范围包括非诉阶段、诉讼/仲裁程序和执行程序。</w:t>
      </w:r>
    </w:p>
    <w:p>
      <w:pPr>
        <w:spacing w:after="156" w:afterLines="50" w:line="360" w:lineRule="auto"/>
        <w:ind w:firstLine="480" w:firstLineChars="200"/>
        <w:rPr>
          <w:sz w:val="24"/>
        </w:rPr>
      </w:pPr>
      <w:r>
        <w:rPr>
          <w:rFonts w:hint="eastAsia"/>
          <w:b/>
          <w:bCs/>
          <w:sz w:val="24"/>
          <w:u w:val="single"/>
        </w:rPr>
        <w:t>章程不明确联系方式时适用：</w:t>
      </w:r>
      <w:r>
        <w:rPr>
          <w:rFonts w:hint="eastAsia"/>
          <w:sz w:val="24"/>
        </w:rPr>
        <w:t>股东和公司的联系方式，以股东和公司另行签署的协议的约定为准。</w:t>
      </w:r>
    </w:p>
    <w:p>
      <w:pPr>
        <w:spacing w:after="156" w:afterLines="50" w:line="360" w:lineRule="auto"/>
        <w:ind w:firstLine="480" w:firstLineChars="200"/>
        <w:rPr>
          <w:sz w:val="24"/>
        </w:rPr>
      </w:pPr>
      <w:r>
        <w:rPr>
          <w:rFonts w:hint="eastAsia"/>
          <w:b/>
          <w:bCs/>
          <w:sz w:val="24"/>
          <w:u w:val="single"/>
        </w:rPr>
        <w:t>章程明确联系方式时适用：</w:t>
      </w:r>
      <w:r>
        <w:rPr>
          <w:rFonts w:hint="eastAsia"/>
          <w:sz w:val="24"/>
        </w:rPr>
        <w:t>向各方发出的所有通知和通讯应按照下述地址、传真号码或电子邮件地址发送，或者以其书面通知对方的其他收件地址。如任何一方变更地址、联系人、传真号码、电子邮件地址或其他联系方式后未及时通知其他方，则其他方在未得到正式通知之前，将有关文件送达其原地址、传真号码或电子邮件地址即视为已向其送达，由此造成的一切后果由变更方自行承担。</w:t>
      </w:r>
    </w:p>
    <w:p>
      <w:pPr>
        <w:spacing w:after="156" w:afterLines="50" w:line="360" w:lineRule="auto"/>
        <w:ind w:firstLine="480" w:firstLineChars="200"/>
        <w:rPr>
          <w:sz w:val="24"/>
        </w:rPr>
      </w:pPr>
      <w:r>
        <w:rPr>
          <w:rFonts w:hint="eastAsia"/>
          <w:sz w:val="24"/>
        </w:rPr>
        <w:t>名称：</w:t>
      </w:r>
    </w:p>
    <w:p>
      <w:pPr>
        <w:spacing w:after="156" w:afterLines="50" w:line="360" w:lineRule="auto"/>
        <w:ind w:firstLine="480" w:firstLineChars="200"/>
        <w:rPr>
          <w:sz w:val="24"/>
        </w:rPr>
      </w:pPr>
      <w:r>
        <w:rPr>
          <w:rFonts w:hint="eastAsia"/>
          <w:sz w:val="24"/>
        </w:rPr>
        <w:t>地址：</w:t>
      </w:r>
    </w:p>
    <w:p>
      <w:pPr>
        <w:spacing w:after="156" w:afterLines="50" w:line="360" w:lineRule="auto"/>
        <w:ind w:firstLine="480" w:firstLineChars="200"/>
        <w:rPr>
          <w:sz w:val="24"/>
        </w:rPr>
      </w:pPr>
      <w:r>
        <w:rPr>
          <w:rFonts w:hint="eastAsia"/>
          <w:sz w:val="24"/>
        </w:rPr>
        <w:t xml:space="preserve">电话： </w:t>
      </w:r>
    </w:p>
    <w:p>
      <w:pPr>
        <w:spacing w:after="156" w:afterLines="50" w:line="360" w:lineRule="auto"/>
        <w:ind w:firstLine="480" w:firstLineChars="200"/>
        <w:rPr>
          <w:sz w:val="24"/>
        </w:rPr>
      </w:pPr>
      <w:r>
        <w:rPr>
          <w:rFonts w:hint="eastAsia"/>
          <w:sz w:val="24"/>
        </w:rPr>
        <w:t xml:space="preserve">电子邮件： </w:t>
      </w:r>
    </w:p>
    <w:p>
      <w:pPr>
        <w:spacing w:after="156" w:afterLines="50" w:line="360" w:lineRule="auto"/>
        <w:ind w:firstLine="480" w:firstLineChars="200"/>
        <w:rPr>
          <w:sz w:val="24"/>
        </w:rPr>
      </w:pPr>
      <w:r>
        <w:rPr>
          <w:rFonts w:hint="eastAsia"/>
          <w:sz w:val="24"/>
        </w:rPr>
        <w:t>传真：</w:t>
      </w:r>
    </w:p>
    <w:p>
      <w:pPr>
        <w:spacing w:after="156" w:afterLines="50" w:line="360" w:lineRule="auto"/>
        <w:ind w:firstLine="480" w:firstLineChars="200"/>
        <w:rPr>
          <w:sz w:val="24"/>
        </w:rPr>
      </w:pPr>
      <w:r>
        <w:rPr>
          <w:rFonts w:hint="eastAsia"/>
          <w:sz w:val="24"/>
        </w:rPr>
        <w:t>收件人：</w:t>
      </w:r>
    </w:p>
    <w:p>
      <w:pPr>
        <w:spacing w:after="156" w:after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50753"/>
    <w:multiLevelType w:val="singleLevel"/>
    <w:tmpl w:val="B7E50753"/>
    <w:lvl w:ilvl="0" w:tentative="0">
      <w:start w:val="1"/>
      <w:numFmt w:val="decimal"/>
      <w:lvlText w:val="(%1)"/>
      <w:lvlJc w:val="left"/>
      <w:pPr>
        <w:ind w:left="425" w:hanging="425"/>
      </w:pPr>
      <w:rPr>
        <w:rFonts w:hint="default"/>
      </w:rPr>
    </w:lvl>
  </w:abstractNum>
  <w:abstractNum w:abstractNumId="1">
    <w:nsid w:val="EDDEC97A"/>
    <w:multiLevelType w:val="singleLevel"/>
    <w:tmpl w:val="EDDEC97A"/>
    <w:lvl w:ilvl="0" w:tentative="0">
      <w:start w:val="1"/>
      <w:numFmt w:val="decimal"/>
      <w:lvlText w:val="(%1)"/>
      <w:lvlJc w:val="left"/>
      <w:pPr>
        <w:ind w:left="425" w:hanging="425"/>
      </w:pPr>
      <w:rPr>
        <w:rFonts w:hint="default"/>
      </w:rPr>
    </w:lvl>
  </w:abstractNum>
  <w:abstractNum w:abstractNumId="2">
    <w:nsid w:val="EDFF63C9"/>
    <w:multiLevelType w:val="singleLevel"/>
    <w:tmpl w:val="EDFF63C9"/>
    <w:lvl w:ilvl="0" w:tentative="0">
      <w:start w:val="1"/>
      <w:numFmt w:val="decimal"/>
      <w:lvlText w:val="(%1)"/>
      <w:lvlJc w:val="left"/>
      <w:pPr>
        <w:ind w:left="425" w:hanging="425"/>
      </w:pPr>
      <w:rPr>
        <w:rFonts w:hint="default"/>
      </w:rPr>
    </w:lvl>
  </w:abstractNum>
  <w:abstractNum w:abstractNumId="3">
    <w:nsid w:val="F77D8BCC"/>
    <w:multiLevelType w:val="singleLevel"/>
    <w:tmpl w:val="F77D8BCC"/>
    <w:lvl w:ilvl="0" w:tentative="0">
      <w:start w:val="1"/>
      <w:numFmt w:val="decimal"/>
      <w:lvlText w:val="(%1)"/>
      <w:lvlJc w:val="left"/>
      <w:pPr>
        <w:ind w:left="425" w:hanging="425"/>
      </w:pPr>
      <w:rPr>
        <w:rFonts w:hint="default"/>
      </w:rPr>
    </w:lvl>
  </w:abstractNum>
  <w:abstractNum w:abstractNumId="4">
    <w:nsid w:val="FF7F35E5"/>
    <w:multiLevelType w:val="singleLevel"/>
    <w:tmpl w:val="FF7F35E5"/>
    <w:lvl w:ilvl="0" w:tentative="0">
      <w:start w:val="1"/>
      <w:numFmt w:val="decimal"/>
      <w:suff w:val="space"/>
      <w:lvlText w:val="%1."/>
      <w:lvlJc w:val="left"/>
    </w:lvl>
  </w:abstractNum>
  <w:abstractNum w:abstractNumId="5">
    <w:nsid w:val="4EBC4F0C"/>
    <w:multiLevelType w:val="multilevel"/>
    <w:tmpl w:val="4EBC4F0C"/>
    <w:lvl w:ilvl="0" w:tentative="0">
      <w:start w:val="15"/>
      <w:numFmt w:val="decimal"/>
      <w:lvlText w:val="第%1条"/>
      <w:lvlJc w:val="left"/>
      <w:pPr>
        <w:tabs>
          <w:tab w:val="left" w:pos="680"/>
        </w:tabs>
        <w:ind w:left="680" w:hanging="680"/>
      </w:pPr>
      <w:rPr>
        <w:rFonts w:hint="eastAsia" w:ascii="黑体" w:eastAsia="黑体"/>
        <w:b/>
      </w:rPr>
    </w:lvl>
    <w:lvl w:ilvl="1" w:tentative="0">
      <w:start w:val="1"/>
      <w:numFmt w:val="decimal"/>
      <w:lvlText w:val="11.%2"/>
      <w:lvlJc w:val="left"/>
      <w:pPr>
        <w:tabs>
          <w:tab w:val="left" w:pos="680"/>
        </w:tabs>
        <w:ind w:left="680" w:hanging="680"/>
      </w:pPr>
      <w:rPr>
        <w:rFonts w:hint="eastAsia" w:ascii="仿宋_GB2312" w:eastAsia="仿宋_GB2312"/>
        <w:sz w:val="24"/>
        <w:szCs w:val="24"/>
      </w:rPr>
    </w:lvl>
    <w:lvl w:ilvl="2" w:tentative="0">
      <w:start w:val="1"/>
      <w:numFmt w:val="decimal"/>
      <w:lvlText w:val="（%3）"/>
      <w:lvlJc w:val="left"/>
      <w:pPr>
        <w:tabs>
          <w:tab w:val="left" w:pos="1872"/>
        </w:tabs>
        <w:ind w:left="1872" w:hanging="738"/>
      </w:pPr>
      <w:rPr>
        <w:rFonts w:hint="eastAsia" w:ascii="宋体" w:hAnsi="宋体" w:eastAsia="宋体"/>
      </w:rPr>
    </w:lvl>
    <w:lvl w:ilvl="3" w:tentative="0">
      <w:start w:val="1"/>
      <w:numFmt w:val="upperLetter"/>
      <w:lvlText w:val="%4"/>
      <w:lvlJc w:val="left"/>
      <w:pPr>
        <w:tabs>
          <w:tab w:val="left" w:pos="1701"/>
        </w:tabs>
        <w:ind w:left="1701" w:hanging="340"/>
      </w:pPr>
      <w:rPr>
        <w:rFonts w:hint="eastAsia"/>
      </w:rPr>
    </w:lvl>
    <w:lvl w:ilvl="4" w:tentative="0">
      <w:start w:val="1"/>
      <w:numFmt w:val="lowerLetter"/>
      <w:lvlText w:val="%5"/>
      <w:lvlJc w:val="left"/>
      <w:pPr>
        <w:tabs>
          <w:tab w:val="left" w:pos="2268"/>
        </w:tabs>
        <w:ind w:left="2268" w:hanging="454"/>
      </w:pPr>
      <w:rPr>
        <w:rFonts w:hint="eastAsia"/>
      </w:rPr>
    </w:lvl>
    <w:lvl w:ilvl="5" w:tentative="0">
      <w:start w:val="1"/>
      <w:numFmt w:val="none"/>
      <w:lvlText w:val=""/>
      <w:lvlJc w:val="left"/>
      <w:pPr>
        <w:tabs>
          <w:tab w:val="left" w:pos="0"/>
        </w:tabs>
        <w:ind w:left="567" w:hanging="567"/>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6">
    <w:nsid w:val="514330C3"/>
    <w:multiLevelType w:val="multilevel"/>
    <w:tmpl w:val="514330C3"/>
    <w:lvl w:ilvl="0" w:tentative="0">
      <w:start w:val="1"/>
      <w:numFmt w:val="bullet"/>
      <w:lvlText w:val=""/>
      <w:lvlJc w:val="left"/>
      <w:pPr>
        <w:ind w:left="1280" w:hanging="440"/>
      </w:pPr>
      <w:rPr>
        <w:rFonts w:hint="default" w:ascii="Wingdings" w:hAnsi="Wingdings"/>
      </w:rPr>
    </w:lvl>
    <w:lvl w:ilvl="1" w:tentative="0">
      <w:start w:val="1"/>
      <w:numFmt w:val="bullet"/>
      <w:lvlText w:val=""/>
      <w:lvlJc w:val="left"/>
      <w:pPr>
        <w:ind w:left="1720" w:hanging="440"/>
      </w:pPr>
      <w:rPr>
        <w:rFonts w:hint="default" w:ascii="Wingdings" w:hAnsi="Wingdings"/>
      </w:rPr>
    </w:lvl>
    <w:lvl w:ilvl="2" w:tentative="0">
      <w:start w:val="1"/>
      <w:numFmt w:val="bullet"/>
      <w:lvlText w:val=""/>
      <w:lvlJc w:val="left"/>
      <w:pPr>
        <w:ind w:left="2160" w:hanging="440"/>
      </w:pPr>
      <w:rPr>
        <w:rFonts w:hint="default" w:ascii="Wingdings" w:hAnsi="Wingdings"/>
      </w:rPr>
    </w:lvl>
    <w:lvl w:ilvl="3" w:tentative="0">
      <w:start w:val="1"/>
      <w:numFmt w:val="bullet"/>
      <w:lvlText w:val=""/>
      <w:lvlJc w:val="left"/>
      <w:pPr>
        <w:ind w:left="2600" w:hanging="440"/>
      </w:pPr>
      <w:rPr>
        <w:rFonts w:hint="default" w:ascii="Wingdings" w:hAnsi="Wingdings"/>
      </w:rPr>
    </w:lvl>
    <w:lvl w:ilvl="4" w:tentative="0">
      <w:start w:val="1"/>
      <w:numFmt w:val="bullet"/>
      <w:lvlText w:val=""/>
      <w:lvlJc w:val="left"/>
      <w:pPr>
        <w:ind w:left="3040" w:hanging="440"/>
      </w:pPr>
      <w:rPr>
        <w:rFonts w:hint="default" w:ascii="Wingdings" w:hAnsi="Wingdings"/>
      </w:rPr>
    </w:lvl>
    <w:lvl w:ilvl="5" w:tentative="0">
      <w:start w:val="1"/>
      <w:numFmt w:val="bullet"/>
      <w:lvlText w:val=""/>
      <w:lvlJc w:val="left"/>
      <w:pPr>
        <w:ind w:left="3480" w:hanging="440"/>
      </w:pPr>
      <w:rPr>
        <w:rFonts w:hint="default" w:ascii="Wingdings" w:hAnsi="Wingdings"/>
      </w:rPr>
    </w:lvl>
    <w:lvl w:ilvl="6" w:tentative="0">
      <w:start w:val="1"/>
      <w:numFmt w:val="bullet"/>
      <w:lvlText w:val=""/>
      <w:lvlJc w:val="left"/>
      <w:pPr>
        <w:ind w:left="3920" w:hanging="440"/>
      </w:pPr>
      <w:rPr>
        <w:rFonts w:hint="default" w:ascii="Wingdings" w:hAnsi="Wingdings"/>
      </w:rPr>
    </w:lvl>
    <w:lvl w:ilvl="7" w:tentative="0">
      <w:start w:val="1"/>
      <w:numFmt w:val="bullet"/>
      <w:lvlText w:val=""/>
      <w:lvlJc w:val="left"/>
      <w:pPr>
        <w:ind w:left="4360" w:hanging="440"/>
      </w:pPr>
      <w:rPr>
        <w:rFonts w:hint="default" w:ascii="Wingdings" w:hAnsi="Wingdings"/>
      </w:rPr>
    </w:lvl>
    <w:lvl w:ilvl="8" w:tentative="0">
      <w:start w:val="1"/>
      <w:numFmt w:val="bullet"/>
      <w:lvlText w:val=""/>
      <w:lvlJc w:val="left"/>
      <w:pPr>
        <w:ind w:left="4800" w:hanging="440"/>
      </w:pPr>
      <w:rPr>
        <w:rFonts w:hint="default" w:ascii="Wingdings" w:hAnsi="Wingdings"/>
      </w:rPr>
    </w:lvl>
  </w:abstractNum>
  <w:abstractNum w:abstractNumId="7">
    <w:nsid w:val="7FFFFE9A"/>
    <w:multiLevelType w:val="singleLevel"/>
    <w:tmpl w:val="7FFFFE9A"/>
    <w:lvl w:ilvl="0" w:tentative="0">
      <w:start w:val="1"/>
      <w:numFmt w:val="chineseCounting"/>
      <w:suff w:val="nothing"/>
      <w:lvlText w:val="%1、"/>
      <w:lvlJc w:val="left"/>
      <w:rPr>
        <w:rFonts w:hint="eastAsia"/>
      </w:rPr>
    </w:lvl>
  </w:abstractNum>
  <w:num w:numId="1">
    <w:abstractNumId w:val="7"/>
  </w:num>
  <w:num w:numId="2">
    <w:abstractNumId w:val="6"/>
  </w:num>
  <w:num w:numId="3">
    <w:abstractNumId w:val="3"/>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F419C"/>
    <w:rsid w:val="00332ECA"/>
    <w:rsid w:val="00755754"/>
    <w:rsid w:val="007C2F5D"/>
    <w:rsid w:val="15F42037"/>
    <w:rsid w:val="1EE7E70D"/>
    <w:rsid w:val="2B9FA43F"/>
    <w:rsid w:val="3FDF8BC9"/>
    <w:rsid w:val="4EA90F73"/>
    <w:rsid w:val="576BBBD0"/>
    <w:rsid w:val="57EF5B5C"/>
    <w:rsid w:val="597D090D"/>
    <w:rsid w:val="59FF0085"/>
    <w:rsid w:val="6F7EE77E"/>
    <w:rsid w:val="6FE7D3C6"/>
    <w:rsid w:val="73FF66DD"/>
    <w:rsid w:val="759FE50E"/>
    <w:rsid w:val="77FBA0B3"/>
    <w:rsid w:val="7D6ED5B7"/>
    <w:rsid w:val="7DEE45EF"/>
    <w:rsid w:val="7F6BE6A9"/>
    <w:rsid w:val="7F9302EE"/>
    <w:rsid w:val="93FF36C0"/>
    <w:rsid w:val="9AF3ECD1"/>
    <w:rsid w:val="9B8FC934"/>
    <w:rsid w:val="BA5F4CA0"/>
    <w:rsid w:val="BABF69EA"/>
    <w:rsid w:val="BB4F2D9D"/>
    <w:rsid w:val="BBFA1D31"/>
    <w:rsid w:val="BEFF87D9"/>
    <w:rsid w:val="C3FF243E"/>
    <w:rsid w:val="CFEC657B"/>
    <w:rsid w:val="CFFF419C"/>
    <w:rsid w:val="DFFEE7CB"/>
    <w:rsid w:val="E7EB20BB"/>
    <w:rsid w:val="E9BA9FCB"/>
    <w:rsid w:val="FAF7DEC7"/>
    <w:rsid w:val="FF2FB32E"/>
    <w:rsid w:val="FFE48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uiPriority w:val="0"/>
    <w:rPr>
      <w:sz w:val="21"/>
      <w:szCs w:val="21"/>
    </w:rPr>
  </w:style>
  <w:style w:type="paragraph" w:customStyle="1" w:styleId="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377</Words>
  <Characters>2149</Characters>
  <Lines>17</Lines>
  <Paragraphs>5</Paragraphs>
  <TotalTime>14</TotalTime>
  <ScaleCrop>false</ScaleCrop>
  <LinksUpToDate>false</LinksUpToDate>
  <CharactersWithSpaces>2521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2024-06-04T01:54:00Z</dcterms:created>
  <dc:creator>TLP074</dc:creator>
  <cp:lastModifiedBy>TLP074</cp:lastModifiedBy>
  <dcterms:modified xsi:type="dcterms:W3CDTF">2024-06-06T14:21:19Z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5AB38141E614CE1DEFD05B663619A2B2_41</vt:lpwstr>
  </property>
</Properties>
</file>